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DCAB" w14:textId="77777777" w:rsidR="0078115B" w:rsidRPr="0078115B" w:rsidRDefault="0078115B" w:rsidP="0078115B">
      <w:pPr>
        <w:spacing w:after="200" w:line="259" w:lineRule="auto"/>
        <w:jc w:val="center"/>
        <w:rPr>
          <w:rFonts w:ascii="Verdana" w:eastAsia="Times New Roman" w:hAnsi="Verdana" w:cs="Arial"/>
          <w:b/>
          <w:bCs/>
          <w:kern w:val="0"/>
          <w:sz w:val="22"/>
          <w:szCs w:val="22"/>
          <w:lang w:eastAsia="es-MX"/>
          <w14:ligatures w14:val="none"/>
        </w:rPr>
      </w:pPr>
      <w:r w:rsidRPr="0078115B">
        <w:rPr>
          <w:rFonts w:ascii="Verdana" w:eastAsia="Times New Roman" w:hAnsi="Verdana" w:cs="Tahoma"/>
          <w:b/>
          <w:kern w:val="0"/>
          <w:sz w:val="22"/>
          <w:szCs w:val="22"/>
          <w:lang w:eastAsia="es-MX"/>
          <w14:ligatures w14:val="none"/>
        </w:rPr>
        <w:t>CONVOCATORIA OPD/CMD/SC/</w:t>
      </w:r>
      <w:bookmarkStart w:id="0" w:name="_Hlk191642343"/>
      <w:r w:rsidRPr="0078115B">
        <w:rPr>
          <w:rFonts w:ascii="Verdana" w:eastAsia="Times New Roman" w:hAnsi="Verdana" w:cs="Tahoma"/>
          <w:b/>
          <w:kern w:val="0"/>
          <w:sz w:val="22"/>
          <w:szCs w:val="22"/>
          <w:lang w:eastAsia="es-MX"/>
          <w14:ligatures w14:val="none"/>
        </w:rPr>
        <w:t xml:space="preserve">025/2026 </w:t>
      </w:r>
      <w:r w:rsidRPr="0078115B">
        <w:rPr>
          <w:rFonts w:ascii="Verdana" w:eastAsia="Times New Roman" w:hAnsi="Verdana" w:cs="Arial"/>
          <w:b/>
          <w:bCs/>
          <w:kern w:val="0"/>
          <w:sz w:val="22"/>
          <w:szCs w:val="22"/>
          <w:lang w:eastAsia="es-MX"/>
          <w14:ligatures w14:val="none"/>
        </w:rPr>
        <w:t>“SERVICIO DE SUMINISTRO, ARRENDAMIENTO, ORGANIZACIÓN Y LOGÍSTICA DE BIENES Y SERVICIOS PARA LA CARRERA DE SANTA CRUZ DEL VALLE DEL CONSEJO MUNICIPAL DEL DEPORTE DE TLAJOMULCO DE ZÚÑIGA, JALISCO”.</w:t>
      </w:r>
    </w:p>
    <w:bookmarkEnd w:id="0"/>
    <w:p w14:paraId="04C24273" w14:textId="77777777" w:rsidR="0078115B" w:rsidRPr="0078115B" w:rsidRDefault="0078115B" w:rsidP="0078115B">
      <w:pPr>
        <w:spacing w:after="0" w:line="240" w:lineRule="auto"/>
        <w:jc w:val="both"/>
        <w:rPr>
          <w:rFonts w:ascii="Arial" w:eastAsia="Times New Roman" w:hAnsi="Arial" w:cs="Arial"/>
          <w:kern w:val="0"/>
          <w:sz w:val="22"/>
          <w:szCs w:val="20"/>
          <w:lang w:eastAsia="es-MX"/>
          <w14:ligatures w14:val="none"/>
        </w:rPr>
      </w:pPr>
      <w:r w:rsidRPr="0078115B">
        <w:rPr>
          <w:rFonts w:ascii="Arial" w:eastAsia="Times New Roman" w:hAnsi="Arial" w:cs="Arial"/>
          <w:kern w:val="0"/>
          <w:sz w:val="22"/>
          <w:szCs w:val="20"/>
          <w:lang w:eastAsia="es-MX"/>
          <w14:ligatures w14:val="none"/>
        </w:rPr>
        <w:t>El Municipio de Tlajomulco de Zúñiga, Jalisco a través del Organismo Público Descentralizado, Consejo Municipal del Deporte (COMUDE) de Tlajomulco de Zúñiga, Jalisco, ubicado en la calle Constitución Oriente, NO. 157, Int. B, en el Municipio de Tlajomulco de Zúñiga, Jalisco,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14:paraId="2B7BDD57" w14:textId="77777777" w:rsidR="0078115B" w:rsidRPr="0078115B" w:rsidRDefault="0078115B" w:rsidP="0078115B">
      <w:pPr>
        <w:spacing w:after="0" w:line="240" w:lineRule="auto"/>
        <w:jc w:val="both"/>
        <w:rPr>
          <w:rFonts w:ascii="Arial" w:eastAsia="Times New Roman" w:hAnsi="Arial" w:cs="Arial"/>
          <w:kern w:val="0"/>
          <w:sz w:val="18"/>
          <w:szCs w:val="16"/>
          <w:lang w:eastAsia="es-MX"/>
          <w14:ligatures w14:val="none"/>
        </w:rPr>
      </w:pPr>
    </w:p>
    <w:tbl>
      <w:tblPr>
        <w:tblStyle w:val="Tablaconcuadrcula1"/>
        <w:tblW w:w="8926" w:type="dxa"/>
        <w:tblLook w:val="04A0" w:firstRow="1" w:lastRow="0" w:firstColumn="1" w:lastColumn="0" w:noHBand="0" w:noVBand="1"/>
      </w:tblPr>
      <w:tblGrid>
        <w:gridCol w:w="4390"/>
        <w:gridCol w:w="4536"/>
      </w:tblGrid>
      <w:tr w:rsidR="0078115B" w:rsidRPr="0078115B" w14:paraId="3E00C1A1" w14:textId="77777777" w:rsidTr="009C5D27">
        <w:trPr>
          <w:trHeight w:val="340"/>
        </w:trPr>
        <w:tc>
          <w:tcPr>
            <w:tcW w:w="4390" w:type="dxa"/>
          </w:tcPr>
          <w:p w14:paraId="49E728D9" w14:textId="77777777" w:rsidR="0078115B" w:rsidRPr="0078115B" w:rsidRDefault="0078115B" w:rsidP="0078115B">
            <w:pPr>
              <w:rPr>
                <w:rFonts w:ascii="Arial" w:eastAsia="Calibri" w:hAnsi="Arial" w:cs="Arial"/>
                <w:lang w:eastAsia="es-ES"/>
              </w:rPr>
            </w:pPr>
            <w:r w:rsidRPr="0078115B">
              <w:rPr>
                <w:rFonts w:ascii="Arial" w:eastAsia="Calibri" w:hAnsi="Arial" w:cs="Arial"/>
                <w:lang w:eastAsia="es-ES"/>
              </w:rPr>
              <w:t xml:space="preserve">Origen de los Recursos </w:t>
            </w:r>
          </w:p>
        </w:tc>
        <w:tc>
          <w:tcPr>
            <w:tcW w:w="4536" w:type="dxa"/>
          </w:tcPr>
          <w:p w14:paraId="4416E94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Municipal </w:t>
            </w:r>
          </w:p>
        </w:tc>
      </w:tr>
      <w:tr w:rsidR="0078115B" w:rsidRPr="0078115B" w14:paraId="21534709" w14:textId="77777777" w:rsidTr="009C5D27">
        <w:tc>
          <w:tcPr>
            <w:tcW w:w="4390" w:type="dxa"/>
          </w:tcPr>
          <w:p w14:paraId="3E11201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Carácter de la Licitación </w:t>
            </w:r>
          </w:p>
        </w:tc>
        <w:tc>
          <w:tcPr>
            <w:tcW w:w="4536" w:type="dxa"/>
          </w:tcPr>
          <w:p w14:paraId="3209140F"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Local</w:t>
            </w:r>
          </w:p>
        </w:tc>
      </w:tr>
      <w:tr w:rsidR="0078115B" w:rsidRPr="0078115B" w14:paraId="2624D1D3" w14:textId="77777777" w:rsidTr="009C5D27">
        <w:tc>
          <w:tcPr>
            <w:tcW w:w="4390" w:type="dxa"/>
          </w:tcPr>
          <w:p w14:paraId="12D8F7F8"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Ejercicio Fiscal que abarca la Contratación </w:t>
            </w:r>
          </w:p>
        </w:tc>
        <w:tc>
          <w:tcPr>
            <w:tcW w:w="4536" w:type="dxa"/>
          </w:tcPr>
          <w:p w14:paraId="28AD9473"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2026</w:t>
            </w:r>
          </w:p>
        </w:tc>
      </w:tr>
      <w:tr w:rsidR="0078115B" w:rsidRPr="0078115B" w14:paraId="4D2256AC" w14:textId="77777777" w:rsidTr="009C5D27">
        <w:tc>
          <w:tcPr>
            <w:tcW w:w="4390" w:type="dxa"/>
          </w:tcPr>
          <w:p w14:paraId="6D926185"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Tipo de Contrato o Pedido (Orden de Compra)</w:t>
            </w:r>
          </w:p>
        </w:tc>
        <w:tc>
          <w:tcPr>
            <w:tcW w:w="4536" w:type="dxa"/>
          </w:tcPr>
          <w:p w14:paraId="23B40B4D"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Cerrado</w:t>
            </w:r>
          </w:p>
        </w:tc>
      </w:tr>
      <w:tr w:rsidR="0078115B" w:rsidRPr="0078115B" w14:paraId="5030E8D0" w14:textId="77777777" w:rsidTr="009C5D27">
        <w:tc>
          <w:tcPr>
            <w:tcW w:w="4390" w:type="dxa"/>
          </w:tcPr>
          <w:p w14:paraId="3963EC30"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Adjudicación de los Bienes o Servicios </w:t>
            </w:r>
          </w:p>
        </w:tc>
        <w:tc>
          <w:tcPr>
            <w:tcW w:w="4536" w:type="dxa"/>
          </w:tcPr>
          <w:p w14:paraId="4968AFE6" w14:textId="77777777" w:rsidR="0078115B" w:rsidRPr="0078115B" w:rsidRDefault="0078115B" w:rsidP="0078115B">
            <w:pPr>
              <w:jc w:val="both"/>
              <w:rPr>
                <w:rFonts w:ascii="Arial" w:eastAsia="Calibri" w:hAnsi="Arial" w:cs="Arial"/>
                <w:b/>
                <w:lang w:eastAsia="es-ES"/>
              </w:rPr>
            </w:pPr>
            <w:r w:rsidRPr="0078115B">
              <w:rPr>
                <w:rFonts w:ascii="Arial" w:eastAsia="Calibri" w:hAnsi="Arial" w:cs="Arial"/>
                <w:b/>
                <w:lang w:eastAsia="es-ES"/>
              </w:rPr>
              <w:t>Se podrá adjudicar a un solo proveedor</w:t>
            </w:r>
          </w:p>
        </w:tc>
      </w:tr>
      <w:tr w:rsidR="0078115B" w:rsidRPr="0078115B" w14:paraId="57661589" w14:textId="77777777" w:rsidTr="009C5D27">
        <w:tc>
          <w:tcPr>
            <w:tcW w:w="4390" w:type="dxa"/>
          </w:tcPr>
          <w:p w14:paraId="7F6060BB"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La partida presupuestal, de conformidad con el clasificador por objeto del gasto</w:t>
            </w:r>
          </w:p>
        </w:tc>
        <w:tc>
          <w:tcPr>
            <w:tcW w:w="4536" w:type="dxa"/>
          </w:tcPr>
          <w:p w14:paraId="2F6BD8BA"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3821</w:t>
            </w:r>
          </w:p>
        </w:tc>
      </w:tr>
      <w:tr w:rsidR="0078115B" w:rsidRPr="0078115B" w14:paraId="3C6CAF3A" w14:textId="77777777" w:rsidTr="009C5D27">
        <w:tc>
          <w:tcPr>
            <w:tcW w:w="4390" w:type="dxa"/>
          </w:tcPr>
          <w:p w14:paraId="02550AE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 xml:space="preserve">Criterio de evaluación de propuestas </w:t>
            </w:r>
          </w:p>
        </w:tc>
        <w:tc>
          <w:tcPr>
            <w:tcW w:w="4536" w:type="dxa"/>
          </w:tcPr>
          <w:p w14:paraId="1390FDFE" w14:textId="77777777" w:rsidR="0078115B" w:rsidRPr="0078115B" w:rsidRDefault="0078115B" w:rsidP="0078115B">
            <w:pPr>
              <w:jc w:val="both"/>
              <w:rPr>
                <w:rFonts w:ascii="Arial" w:eastAsia="Calibri" w:hAnsi="Arial" w:cs="Arial"/>
                <w:lang w:eastAsia="es-ES"/>
              </w:rPr>
            </w:pPr>
            <w:r w:rsidRPr="0078115B">
              <w:rPr>
                <w:rFonts w:ascii="Arial" w:eastAsia="Calibri" w:hAnsi="Arial" w:cs="Arial"/>
                <w:lang w:eastAsia="es-ES"/>
              </w:rPr>
              <w:t>Binario</w:t>
            </w:r>
          </w:p>
        </w:tc>
      </w:tr>
      <w:tr w:rsidR="0078115B" w:rsidRPr="0078115B" w14:paraId="78C9EE79" w14:textId="77777777" w:rsidTr="009C5D27">
        <w:trPr>
          <w:trHeight w:val="329"/>
        </w:trPr>
        <w:tc>
          <w:tcPr>
            <w:tcW w:w="4390" w:type="dxa"/>
          </w:tcPr>
          <w:p w14:paraId="308B0629" w14:textId="77777777" w:rsidR="0078115B" w:rsidRPr="0078115B" w:rsidRDefault="0078115B" w:rsidP="0078115B">
            <w:pPr>
              <w:jc w:val="both"/>
              <w:rPr>
                <w:rFonts w:ascii="Arial" w:eastAsia="Calibri" w:hAnsi="Arial" w:cs="Arial"/>
              </w:rPr>
            </w:pPr>
            <w:r w:rsidRPr="0078115B">
              <w:rPr>
                <w:rFonts w:ascii="Arial" w:eastAsia="Calibri" w:hAnsi="Arial" w:cs="Arial"/>
              </w:rPr>
              <w:t>Fecha de Publicación</w:t>
            </w:r>
          </w:p>
        </w:tc>
        <w:tc>
          <w:tcPr>
            <w:tcW w:w="4536" w:type="dxa"/>
          </w:tcPr>
          <w:p w14:paraId="60780E50" w14:textId="77777777" w:rsidR="0078115B" w:rsidRPr="0078115B" w:rsidRDefault="0078115B" w:rsidP="0078115B">
            <w:pPr>
              <w:spacing w:after="200" w:line="276" w:lineRule="auto"/>
              <w:jc w:val="both"/>
              <w:rPr>
                <w:rFonts w:ascii="Arial" w:eastAsia="Calibri" w:hAnsi="Arial" w:cs="Arial"/>
                <w:b/>
              </w:rPr>
            </w:pPr>
            <w:r w:rsidRPr="0078115B">
              <w:rPr>
                <w:rFonts w:ascii="Arial" w:eastAsia="Calibri" w:hAnsi="Arial" w:cs="Arial"/>
                <w:color w:val="000000"/>
              </w:rPr>
              <w:t>17 de abril del año 2026</w:t>
            </w:r>
          </w:p>
        </w:tc>
      </w:tr>
      <w:tr w:rsidR="0078115B" w:rsidRPr="0078115B" w14:paraId="4EDDC851" w14:textId="77777777" w:rsidTr="009C5D27">
        <w:trPr>
          <w:trHeight w:val="181"/>
        </w:trPr>
        <w:tc>
          <w:tcPr>
            <w:tcW w:w="4390" w:type="dxa"/>
          </w:tcPr>
          <w:p w14:paraId="75CE88DF" w14:textId="77777777" w:rsidR="0078115B" w:rsidRPr="0078115B" w:rsidRDefault="0078115B" w:rsidP="0078115B">
            <w:pPr>
              <w:jc w:val="both"/>
              <w:rPr>
                <w:rFonts w:ascii="Arial" w:eastAsia="Calibri" w:hAnsi="Arial" w:cs="Arial"/>
              </w:rPr>
            </w:pPr>
            <w:r w:rsidRPr="0078115B">
              <w:rPr>
                <w:rFonts w:ascii="Arial" w:eastAsia="Calibri" w:hAnsi="Arial" w:cs="Arial"/>
              </w:rPr>
              <w:t>Aclaraciones</w:t>
            </w:r>
          </w:p>
        </w:tc>
        <w:tc>
          <w:tcPr>
            <w:tcW w:w="4536" w:type="dxa"/>
          </w:tcPr>
          <w:p w14:paraId="0F65C907" w14:textId="77777777" w:rsidR="0078115B" w:rsidRPr="0078115B" w:rsidRDefault="0078115B" w:rsidP="0078115B">
            <w:pPr>
              <w:jc w:val="both"/>
              <w:rPr>
                <w:rFonts w:ascii="Arial" w:eastAsia="Calibri" w:hAnsi="Arial" w:cs="Arial"/>
                <w:color w:val="000000"/>
              </w:rPr>
            </w:pPr>
            <w:r w:rsidRPr="0078115B">
              <w:rPr>
                <w:rFonts w:ascii="Arial" w:eastAsia="Calibri" w:hAnsi="Arial" w:cs="Arial"/>
              </w:rPr>
              <w:t>Al teléfono 01 (33) 32834400 Ext. 3263 o al correo electrónico: comprascomude@tlajomulco.gob.mx</w:t>
            </w:r>
          </w:p>
        </w:tc>
      </w:tr>
      <w:tr w:rsidR="0078115B" w:rsidRPr="0078115B" w14:paraId="52AAC59E" w14:textId="77777777" w:rsidTr="009C5D27">
        <w:trPr>
          <w:trHeight w:val="1442"/>
        </w:trPr>
        <w:tc>
          <w:tcPr>
            <w:tcW w:w="4390" w:type="dxa"/>
          </w:tcPr>
          <w:p w14:paraId="2D5A9CCD"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 xml:space="preserve">Fecha y hora límite para entrega de propuestas </w:t>
            </w:r>
          </w:p>
        </w:tc>
        <w:tc>
          <w:tcPr>
            <w:tcW w:w="4536" w:type="dxa"/>
            <w:tcBorders>
              <w:top w:val="single" w:sz="4" w:space="0" w:color="auto"/>
              <w:left w:val="single" w:sz="4" w:space="0" w:color="auto"/>
              <w:bottom w:val="single" w:sz="4" w:space="0" w:color="auto"/>
              <w:right w:val="single" w:sz="4" w:space="0" w:color="auto"/>
            </w:tcBorders>
          </w:tcPr>
          <w:p w14:paraId="083E21FE" w14:textId="68249D28" w:rsidR="0078115B" w:rsidRPr="0078115B" w:rsidRDefault="0078115B" w:rsidP="0078115B">
            <w:pPr>
              <w:spacing w:after="200"/>
              <w:jc w:val="both"/>
              <w:rPr>
                <w:rFonts w:ascii="Arial" w:eastAsia="Calibri" w:hAnsi="Arial" w:cs="Arial"/>
                <w:color w:val="000000"/>
              </w:rPr>
            </w:pPr>
            <w:r w:rsidRPr="0078115B">
              <w:rPr>
                <w:rFonts w:ascii="Arial" w:eastAsia="Calibri" w:hAnsi="Arial" w:cs="Arial"/>
                <w:color w:val="000000"/>
              </w:rPr>
              <w:t xml:space="preserve">27 de abril del 2026 a las </w:t>
            </w:r>
            <w:r w:rsidRPr="0078115B">
              <w:rPr>
                <w:rFonts w:ascii="Arial" w:eastAsia="Calibri" w:hAnsi="Arial" w:cs="Arial"/>
              </w:rPr>
              <w:t>13:00 horas, Oficinas del Órgano Interno de Control de Tlajomulco de Zúñiga, ubicado en calle Vallarta #59</w:t>
            </w:r>
            <w:r w:rsidR="00A6113C">
              <w:rPr>
                <w:rFonts w:ascii="Arial" w:eastAsia="Calibri" w:hAnsi="Arial" w:cs="Arial"/>
              </w:rPr>
              <w:t xml:space="preserve"> C</w:t>
            </w:r>
            <w:r w:rsidRPr="0078115B">
              <w:rPr>
                <w:rFonts w:ascii="Arial" w:eastAsia="Calibri" w:hAnsi="Arial" w:cs="Arial"/>
              </w:rPr>
              <w:t>, poniente, colonia centro, en Tlajomulco de Zúñiga, Jalisco.</w:t>
            </w:r>
          </w:p>
        </w:tc>
      </w:tr>
      <w:tr w:rsidR="0078115B" w:rsidRPr="0078115B" w14:paraId="0EB95CAF" w14:textId="77777777" w:rsidTr="009C5D27">
        <w:trPr>
          <w:trHeight w:val="1233"/>
        </w:trPr>
        <w:tc>
          <w:tcPr>
            <w:tcW w:w="4390" w:type="dxa"/>
          </w:tcPr>
          <w:p w14:paraId="7C6C2F03"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Apertura de propuestas. Se invita a los licitantes a participar en el evento</w:t>
            </w:r>
          </w:p>
        </w:tc>
        <w:tc>
          <w:tcPr>
            <w:tcW w:w="4536" w:type="dxa"/>
            <w:tcBorders>
              <w:top w:val="single" w:sz="4" w:space="0" w:color="auto"/>
              <w:left w:val="single" w:sz="4" w:space="0" w:color="auto"/>
              <w:bottom w:val="single" w:sz="4" w:space="0" w:color="auto"/>
              <w:right w:val="single" w:sz="4" w:space="0" w:color="auto"/>
            </w:tcBorders>
          </w:tcPr>
          <w:p w14:paraId="5D548684" w14:textId="784DAEBB" w:rsidR="0078115B" w:rsidRPr="0078115B" w:rsidRDefault="0078115B" w:rsidP="0078115B">
            <w:pPr>
              <w:spacing w:after="200"/>
              <w:jc w:val="both"/>
              <w:rPr>
                <w:rFonts w:ascii="Arial" w:eastAsia="Calibri" w:hAnsi="Arial" w:cs="Arial"/>
                <w:color w:val="000000"/>
              </w:rPr>
            </w:pPr>
            <w:r w:rsidRPr="0078115B">
              <w:rPr>
                <w:rFonts w:ascii="Arial" w:eastAsia="Calibri" w:hAnsi="Arial" w:cs="Arial"/>
                <w:color w:val="000000"/>
              </w:rPr>
              <w:t xml:space="preserve">27 de abril del 2026, a las </w:t>
            </w:r>
            <w:r w:rsidRPr="0078115B">
              <w:rPr>
                <w:rFonts w:ascii="Arial" w:eastAsia="Calibri" w:hAnsi="Arial" w:cs="Arial"/>
              </w:rPr>
              <w:t>13:10 horas, Oficinas del Órgano Interno de Control de Tlajomulco de Zúñiga, ubicado en calle Vallarta #59</w:t>
            </w:r>
            <w:r w:rsidR="00A6113C">
              <w:rPr>
                <w:rFonts w:ascii="Arial" w:eastAsia="Calibri" w:hAnsi="Arial" w:cs="Arial"/>
              </w:rPr>
              <w:t xml:space="preserve"> C</w:t>
            </w:r>
            <w:r w:rsidRPr="0078115B">
              <w:rPr>
                <w:rFonts w:ascii="Arial" w:eastAsia="Calibri" w:hAnsi="Arial" w:cs="Arial"/>
              </w:rPr>
              <w:t>, poniente, colonia centro, en Tlajomulco de Zúñiga, Jalisco.</w:t>
            </w:r>
          </w:p>
        </w:tc>
      </w:tr>
      <w:tr w:rsidR="0078115B" w:rsidRPr="0078115B" w14:paraId="65B94584" w14:textId="77777777" w:rsidTr="009C5D27">
        <w:trPr>
          <w:trHeight w:val="669"/>
        </w:trPr>
        <w:tc>
          <w:tcPr>
            <w:tcW w:w="4390" w:type="dxa"/>
          </w:tcPr>
          <w:p w14:paraId="78255A2C"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 xml:space="preserve">Fecha de Publicación de Fallo </w:t>
            </w:r>
          </w:p>
        </w:tc>
        <w:tc>
          <w:tcPr>
            <w:tcW w:w="4536" w:type="dxa"/>
          </w:tcPr>
          <w:p w14:paraId="4C013774" w14:textId="77777777" w:rsidR="0078115B" w:rsidRPr="0078115B" w:rsidRDefault="0078115B" w:rsidP="0078115B">
            <w:pPr>
              <w:spacing w:after="200"/>
              <w:jc w:val="both"/>
              <w:rPr>
                <w:rFonts w:ascii="Arial" w:eastAsia="Calibri" w:hAnsi="Arial" w:cs="Arial"/>
              </w:rPr>
            </w:pPr>
            <w:r w:rsidRPr="0078115B">
              <w:rPr>
                <w:rFonts w:ascii="Arial" w:eastAsia="Calibri" w:hAnsi="Arial" w:cs="Arial"/>
              </w:rPr>
              <w:t>Desde la fecha de apertura de propuestas o hasta 20 días posteriores</w:t>
            </w:r>
          </w:p>
        </w:tc>
      </w:tr>
      <w:tr w:rsidR="0078115B" w:rsidRPr="0078115B" w14:paraId="1A752DD8" w14:textId="77777777" w:rsidTr="009C5D27">
        <w:trPr>
          <w:trHeight w:val="720"/>
        </w:trPr>
        <w:tc>
          <w:tcPr>
            <w:tcW w:w="4390" w:type="dxa"/>
          </w:tcPr>
          <w:p w14:paraId="0FACB3C5" w14:textId="77777777" w:rsidR="0078115B" w:rsidRPr="0078115B" w:rsidRDefault="0078115B" w:rsidP="0078115B">
            <w:pPr>
              <w:jc w:val="both"/>
              <w:rPr>
                <w:rFonts w:ascii="Arial" w:eastAsia="Calibri" w:hAnsi="Arial" w:cs="Arial"/>
              </w:rPr>
            </w:pPr>
            <w:r w:rsidRPr="0078115B">
              <w:rPr>
                <w:rFonts w:ascii="Arial" w:eastAsia="Calibri" w:hAnsi="Arial" w:cs="Arial"/>
              </w:rPr>
              <w:t>Domicilio de las Oficinas del Órgano Interno de Control donde podrán presentarse inconformidades.</w:t>
            </w:r>
          </w:p>
        </w:tc>
        <w:tc>
          <w:tcPr>
            <w:tcW w:w="4536" w:type="dxa"/>
          </w:tcPr>
          <w:p w14:paraId="6F7945BC" w14:textId="7ED9B480" w:rsidR="0078115B" w:rsidRPr="0078115B" w:rsidRDefault="0078115B" w:rsidP="0078115B">
            <w:pPr>
              <w:rPr>
                <w:rFonts w:ascii="Arial" w:eastAsia="Calibri" w:hAnsi="Arial" w:cs="Arial"/>
              </w:rPr>
            </w:pPr>
            <w:r w:rsidRPr="0078115B">
              <w:rPr>
                <w:rFonts w:ascii="Arial" w:eastAsia="Times New Roman" w:hAnsi="Arial" w:cs="Arial"/>
              </w:rPr>
              <w:t>calle Vallarta #59</w:t>
            </w:r>
            <w:r w:rsidR="00A6113C">
              <w:rPr>
                <w:rFonts w:ascii="Arial" w:eastAsia="Times New Roman" w:hAnsi="Arial" w:cs="Arial"/>
              </w:rPr>
              <w:t xml:space="preserve"> C</w:t>
            </w:r>
            <w:r w:rsidRPr="0078115B">
              <w:rPr>
                <w:rFonts w:ascii="Arial" w:eastAsia="Times New Roman" w:hAnsi="Arial" w:cs="Arial"/>
              </w:rPr>
              <w:t>, poniente, colonia centro, en Tlajomulco de Zúñiga, Jalisco</w:t>
            </w:r>
          </w:p>
        </w:tc>
      </w:tr>
    </w:tbl>
    <w:tbl>
      <w:tblPr>
        <w:tblStyle w:val="Tablaconcuadrcula1"/>
        <w:tblpPr w:leftFromText="141" w:rightFromText="141" w:vertAnchor="page" w:horzAnchor="margin" w:tblpXSpec="center" w:tblpY="2221"/>
        <w:tblW w:w="10106" w:type="dxa"/>
        <w:tblLook w:val="04A0" w:firstRow="1" w:lastRow="0" w:firstColumn="1" w:lastColumn="0" w:noHBand="0" w:noVBand="1"/>
      </w:tblPr>
      <w:tblGrid>
        <w:gridCol w:w="1105"/>
        <w:gridCol w:w="6613"/>
        <w:gridCol w:w="1261"/>
        <w:gridCol w:w="1127"/>
      </w:tblGrid>
      <w:tr w:rsidR="0078115B" w:rsidRPr="0078115B" w14:paraId="0B99AF5B" w14:textId="77777777" w:rsidTr="0078115B">
        <w:trPr>
          <w:trHeight w:val="29"/>
        </w:trPr>
        <w:tc>
          <w:tcPr>
            <w:tcW w:w="1105" w:type="dxa"/>
          </w:tcPr>
          <w:p w14:paraId="0552A2F8"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lastRenderedPageBreak/>
              <w:t>PARTIDA</w:t>
            </w:r>
          </w:p>
        </w:tc>
        <w:tc>
          <w:tcPr>
            <w:tcW w:w="6613" w:type="dxa"/>
          </w:tcPr>
          <w:p w14:paraId="4E42C881" w14:textId="77777777" w:rsidR="0078115B" w:rsidRPr="0078115B" w:rsidRDefault="0078115B" w:rsidP="0078115B">
            <w:pPr>
              <w:jc w:val="center"/>
              <w:rPr>
                <w:rFonts w:ascii="Arial" w:eastAsia="Calibri" w:hAnsi="Arial" w:cs="Arial"/>
                <w:b/>
                <w:bCs/>
                <w:sz w:val="20"/>
                <w:szCs w:val="20"/>
              </w:rPr>
            </w:pPr>
            <w:r w:rsidRPr="0078115B">
              <w:rPr>
                <w:rFonts w:ascii="Arial" w:eastAsia="Calibri" w:hAnsi="Arial" w:cs="Arial"/>
                <w:b/>
                <w:bCs/>
                <w:sz w:val="20"/>
                <w:szCs w:val="20"/>
              </w:rPr>
              <w:t>DESCRIPCIÓN</w:t>
            </w:r>
          </w:p>
        </w:tc>
        <w:tc>
          <w:tcPr>
            <w:tcW w:w="1261" w:type="dxa"/>
          </w:tcPr>
          <w:p w14:paraId="7312D07B"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CANTIDAD</w:t>
            </w:r>
          </w:p>
        </w:tc>
        <w:tc>
          <w:tcPr>
            <w:tcW w:w="1127" w:type="dxa"/>
          </w:tcPr>
          <w:p w14:paraId="33D4F3CC"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UM</w:t>
            </w:r>
          </w:p>
        </w:tc>
      </w:tr>
      <w:tr w:rsidR="0078115B" w:rsidRPr="0078115B" w14:paraId="7C00B3F6" w14:textId="77777777" w:rsidTr="0078115B">
        <w:trPr>
          <w:trHeight w:val="94"/>
        </w:trPr>
        <w:tc>
          <w:tcPr>
            <w:tcW w:w="1105" w:type="dxa"/>
          </w:tcPr>
          <w:p w14:paraId="21E8EC29"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t>1</w:t>
            </w:r>
          </w:p>
        </w:tc>
        <w:tc>
          <w:tcPr>
            <w:tcW w:w="6613" w:type="dxa"/>
          </w:tcPr>
          <w:p w14:paraId="7FB899E9" w14:textId="77777777" w:rsidR="0078115B" w:rsidRPr="0078115B" w:rsidRDefault="0078115B" w:rsidP="0078115B">
            <w:pPr>
              <w:spacing w:line="259" w:lineRule="auto"/>
              <w:ind w:left="720"/>
              <w:jc w:val="center"/>
              <w:rPr>
                <w:rFonts w:ascii="Calibri Light" w:eastAsia="Calibri" w:hAnsi="Calibri Light" w:cs="Calibri Light"/>
                <w:b/>
                <w:bCs/>
                <w:sz w:val="20"/>
                <w:szCs w:val="20"/>
                <w:lang w:val="es-ES" w:eastAsia="es-ES"/>
              </w:rPr>
            </w:pPr>
            <w:r w:rsidRPr="0078115B">
              <w:rPr>
                <w:rFonts w:ascii="Calibri Light" w:eastAsia="Calibri" w:hAnsi="Calibri Light" w:cs="Calibri Light"/>
                <w:b/>
                <w:bCs/>
                <w:sz w:val="20"/>
                <w:szCs w:val="20"/>
                <w:lang w:val="es-ES" w:eastAsia="es-ES"/>
              </w:rPr>
              <w:t>CARRERA DE SANTA CRUZ DEL VALLE EN TLAJOMULCO DE ZÚÑIGA, JALISCO, EL DÍA 03 DE MAYO DEL AÑO 2026:</w:t>
            </w:r>
          </w:p>
          <w:p w14:paraId="67F5889D"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lang w:val="es-ES" w:eastAsia="es-ES"/>
              </w:rPr>
              <w:t xml:space="preserve">1 </w:t>
            </w:r>
            <w:r w:rsidRPr="0078115B">
              <w:rPr>
                <w:rFonts w:ascii="Calibri" w:eastAsia="Calibri" w:hAnsi="Calibri" w:cs="Times New Roman"/>
                <w:lang w:val="es-ES"/>
              </w:rPr>
              <w:t>lona back 6 metros x 244 cm, impresión selección a color, con bastilla y ojillos cada 15 cm, en alta resolución, diseño personalizado.</w:t>
            </w:r>
          </w:p>
          <w:p w14:paraId="5186CA5F"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w:eastAsia="Calibri" w:hAnsi="Calibri" w:cs="Times New Roman"/>
                <w:lang w:val="es-ES"/>
              </w:rPr>
              <w:t>5 lonas para identificación de kilómetros de 100 cm x 170 cm, impresión selección a color, con bastillas y ojillos cada 15 cm, en alta resolución, diseño personalizado.</w:t>
            </w:r>
          </w:p>
          <w:p w14:paraId="3B0E8876"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1 seda personalizada para utilizar como listón de meta, con velcro al centro para facilitar su apertura. Dimensiones: 4 metros de largo por 20 cm de ancho. Impresión a color según selección.</w:t>
            </w:r>
          </w:p>
          <w:p w14:paraId="3795EA90"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1 vinil para pódium adherible, 1er lugar 80.6 cm x 70.6 cm, impreso con selección a color, en alta resolución, diseño personalizado.</w:t>
            </w:r>
          </w:p>
          <w:p w14:paraId="0D546C09"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1 vinil para pódium adherible, 2do lugar 80.6 cm x 50.6 cm, impreso con selección a color, en alta resolución, diseño personalizado.</w:t>
            </w:r>
          </w:p>
          <w:p w14:paraId="7AC140F3"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1 vinil para pódium adherible, 3er lugar 80.6 cm x 30.6 cm, impreso con selección a color, en alta resolución, diseño personalizado.</w:t>
            </w:r>
          </w:p>
          <w:p w14:paraId="62E5A682"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lang w:val="es-ES" w:eastAsia="es-ES"/>
              </w:rPr>
              <w:t>1 lona de tela mate impresa 306 cm X 227cm Costura, bastilla y velcro, impresión selección a color, en alta resolución, diseño personalizado.</w:t>
            </w:r>
          </w:p>
          <w:p w14:paraId="1F31A95D"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 xml:space="preserve">Hasta 450 números de corredor, impresos en material </w:t>
            </w:r>
            <w:proofErr w:type="spellStart"/>
            <w:r w:rsidRPr="0078115B">
              <w:rPr>
                <w:rFonts w:ascii="Calibri Light" w:eastAsia="Calibri" w:hAnsi="Calibri Light" w:cs="Calibri Light"/>
                <w:color w:val="000000"/>
                <w:lang w:val="es-ES" w:eastAsia="es-ES"/>
              </w:rPr>
              <w:t>Tyvek</w:t>
            </w:r>
            <w:proofErr w:type="spellEnd"/>
            <w:r w:rsidRPr="0078115B">
              <w:rPr>
                <w:rFonts w:ascii="Calibri Light" w:eastAsia="Calibri" w:hAnsi="Calibri Light" w:cs="Calibri Light"/>
                <w:color w:val="000000"/>
                <w:lang w:val="es-ES" w:eastAsia="es-ES"/>
              </w:rPr>
              <w:t xml:space="preserve"> de 23 cm x 16 cm, selección a color y diseño personalizado.</w:t>
            </w:r>
          </w:p>
          <w:p w14:paraId="4F3B09FC"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 xml:space="preserve">Servicio de cronometraje electrónico con tecnología </w:t>
            </w:r>
            <w:proofErr w:type="spellStart"/>
            <w:r w:rsidRPr="0078115B">
              <w:rPr>
                <w:rFonts w:ascii="Calibri Light" w:eastAsia="Calibri" w:hAnsi="Calibri Light" w:cs="Calibri Light"/>
                <w:color w:val="000000"/>
                <w:lang w:val="es-ES" w:eastAsia="es-ES"/>
              </w:rPr>
              <w:t>MyLaps</w:t>
            </w:r>
            <w:proofErr w:type="spellEnd"/>
            <w:r w:rsidRPr="0078115B">
              <w:rPr>
                <w:rFonts w:ascii="Calibri Light" w:eastAsia="Calibri" w:hAnsi="Calibri Light" w:cs="Calibri Light"/>
                <w:color w:val="000000"/>
                <w:lang w:val="es-ES" w:eastAsia="es-ES"/>
              </w:rPr>
              <w:t xml:space="preserve">, que incluye el uso de chips desechables </w:t>
            </w:r>
            <w:proofErr w:type="spellStart"/>
            <w:r w:rsidRPr="0078115B">
              <w:rPr>
                <w:rFonts w:ascii="Calibri Light" w:eastAsia="Calibri" w:hAnsi="Calibri Light" w:cs="Calibri Light"/>
                <w:color w:val="000000"/>
                <w:lang w:val="es-ES" w:eastAsia="es-ES"/>
              </w:rPr>
              <w:t>BibTag</w:t>
            </w:r>
            <w:proofErr w:type="spellEnd"/>
            <w:r w:rsidRPr="0078115B">
              <w:rPr>
                <w:rFonts w:ascii="Calibri Light" w:eastAsia="Calibri" w:hAnsi="Calibri Light" w:cs="Calibri Light"/>
                <w:color w:val="000000"/>
                <w:lang w:val="es-ES" w:eastAsia="es-ES"/>
              </w:rPr>
              <w:t xml:space="preserve"> de 10 cm x 3 cm para el total de corredores inscritos al evento.</w:t>
            </w:r>
          </w:p>
          <w:p w14:paraId="26FAE10A"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lang w:val="es-ES" w:eastAsia="es-ES"/>
              </w:rPr>
              <w:t xml:space="preserve">Adquisición de 450 piezas de playeras con diseño personalizado, elaboradas con cuello redondo y mangas cortas, cuentan con tecnología </w:t>
            </w:r>
            <w:proofErr w:type="spellStart"/>
            <w:r w:rsidRPr="0078115B">
              <w:rPr>
                <w:rFonts w:ascii="Calibri Light" w:eastAsia="Calibri" w:hAnsi="Calibri Light" w:cs="Calibri Light"/>
                <w:lang w:val="es-ES" w:eastAsia="es-ES"/>
              </w:rPr>
              <w:t>dry</w:t>
            </w:r>
            <w:proofErr w:type="spellEnd"/>
            <w:r w:rsidRPr="0078115B">
              <w:rPr>
                <w:rFonts w:ascii="Calibri Light" w:eastAsia="Calibri" w:hAnsi="Calibri Light" w:cs="Calibri Light"/>
                <w:lang w:val="es-ES" w:eastAsia="es-ES"/>
              </w:rPr>
              <w:t xml:space="preserve"> </w:t>
            </w:r>
            <w:proofErr w:type="spellStart"/>
            <w:r w:rsidRPr="0078115B">
              <w:rPr>
                <w:rFonts w:ascii="Calibri Light" w:eastAsia="Calibri" w:hAnsi="Calibri Light" w:cs="Calibri Light"/>
                <w:lang w:val="es-ES" w:eastAsia="es-ES"/>
              </w:rPr>
              <w:t>fit</w:t>
            </w:r>
            <w:proofErr w:type="spellEnd"/>
            <w:r w:rsidRPr="0078115B">
              <w:rPr>
                <w:rFonts w:ascii="Calibri Light" w:eastAsia="Calibri" w:hAnsi="Calibri Light" w:cs="Calibri Light"/>
                <w:lang w:val="es-ES" w:eastAsia="es-ES"/>
              </w:rPr>
              <w:t xml:space="preserve"> en las zonas de mayor sudoración para brindar frescura y comodidad durante la competencia. </w:t>
            </w:r>
          </w:p>
          <w:p w14:paraId="019803F8"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 xml:space="preserve">Servicio de jueces certificados ante la Asociación de Jueces y </w:t>
            </w:r>
            <w:proofErr w:type="spellStart"/>
            <w:r w:rsidRPr="0078115B">
              <w:rPr>
                <w:rFonts w:ascii="Calibri Light" w:eastAsia="Calibri" w:hAnsi="Calibri Light" w:cs="Calibri Light"/>
                <w:color w:val="000000"/>
                <w:lang w:val="es-ES" w:eastAsia="es-ES"/>
              </w:rPr>
              <w:t>cronometristas</w:t>
            </w:r>
            <w:proofErr w:type="spellEnd"/>
            <w:r w:rsidRPr="0078115B">
              <w:rPr>
                <w:rFonts w:ascii="Calibri Light" w:eastAsia="Calibri" w:hAnsi="Calibri Light" w:cs="Calibri Light"/>
                <w:color w:val="000000"/>
                <w:lang w:val="es-ES" w:eastAsia="es-ES"/>
              </w:rPr>
              <w:t xml:space="preserve"> de Atletismo (AJCA) para la supervisión y validación de competencia de la carrera. Incluye la asignación de jueces especializados en la aplicación del reglamento oficial, el monitoreo del desarrollo de la carrera, la verificación de tiempos y resultados, así como la resolución de cualquier situación relacionada con el cumplimiento de las normativas de la competencia.</w:t>
            </w:r>
          </w:p>
          <w:p w14:paraId="3FDCF193"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 xml:space="preserve">200 cinchos de nylon natural de 25 cm, fabricados con material de alta resistencia, flexible y duradero. Con un color natural (translúcido o blanco) y un ancho aproximado de 4.8 mm, ideales </w:t>
            </w:r>
            <w:r w:rsidRPr="0078115B">
              <w:rPr>
                <w:rFonts w:ascii="Calibri Light" w:eastAsia="Calibri" w:hAnsi="Calibri Light" w:cs="Calibri Light"/>
                <w:color w:val="000000"/>
                <w:lang w:val="es-ES" w:eastAsia="es-ES"/>
              </w:rPr>
              <w:lastRenderedPageBreak/>
              <w:t>para sujetar cables, mangueras, bolsas u otros objetos de manera segura. Sistema de cierre autoblocante con dientes internos.</w:t>
            </w:r>
          </w:p>
          <w:p w14:paraId="1A2C5BE3"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150 cinchos de nylon natural de 30 cm, fabricados con material de alta resistencia, flexible y duradero. Con un color natural (translúcido o blanco) y un ancho aproximado de 4.8 mm, ideales para sujetar cables, mangueras, bolsas u otros objetos de manera segura. Sistema de cierre autoblocante con dientes internos.</w:t>
            </w:r>
          </w:p>
          <w:p w14:paraId="32CDDD58" w14:textId="77777777" w:rsidR="0078115B" w:rsidRPr="0078115B" w:rsidRDefault="0078115B" w:rsidP="0078115B">
            <w:pPr>
              <w:numPr>
                <w:ilvl w:val="0"/>
                <w:numId w:val="1"/>
              </w:numPr>
              <w:jc w:val="both"/>
              <w:rPr>
                <w:rFonts w:ascii="Calibri Light" w:eastAsia="Calibri" w:hAnsi="Calibri Light" w:cs="Calibri Light"/>
                <w:lang w:val="es-ES" w:eastAsia="es-ES"/>
              </w:rPr>
            </w:pPr>
            <w:r w:rsidRPr="0078115B">
              <w:rPr>
                <w:rFonts w:ascii="Calibri Light" w:eastAsia="Calibri" w:hAnsi="Calibri Light" w:cs="Calibri Light"/>
                <w:color w:val="000000"/>
                <w:lang w:val="es-ES" w:eastAsia="es-ES"/>
              </w:rPr>
              <w:t>400 cinchos de nylon natural de 20 cm, fabricados con material de alta resistencia, flexible y duradero. Con un color natural (translúcido o blanco) y un ancho aproximado de 4.8 mm, ideales para sujetar cables, mangueras, bolsas u otros objetos de manera segura. Sistema de cola de ratón.</w:t>
            </w:r>
          </w:p>
          <w:p w14:paraId="1EB1568E" w14:textId="77777777" w:rsidR="0078115B" w:rsidRPr="0078115B" w:rsidRDefault="0078115B" w:rsidP="0078115B">
            <w:pPr>
              <w:numPr>
                <w:ilvl w:val="0"/>
                <w:numId w:val="1"/>
              </w:numPr>
              <w:jc w:val="both"/>
              <w:rPr>
                <w:rFonts w:ascii="Calibri Light" w:eastAsia="Calibri" w:hAnsi="Calibri Light" w:cs="Calibri Light"/>
                <w:color w:val="000000"/>
                <w:lang w:val="es-ES" w:eastAsia="es-ES"/>
              </w:rPr>
            </w:pPr>
            <w:r w:rsidRPr="0078115B">
              <w:rPr>
                <w:rFonts w:ascii="Calibri Light" w:eastAsia="Calibri" w:hAnsi="Calibri Light" w:cs="Calibri Light"/>
                <w:color w:val="000000"/>
                <w:lang w:val="es-ES" w:eastAsia="es-ES"/>
              </w:rPr>
              <w:t>Servicio de renta de hasta 80 vallas de 1x2 de seguridad metálicas, con estructura estable, para delimitación de espacios, fabricadas con materiales de alta resistencia para garantizar estabilidad y seguridad. El servicio incluye montaje y desmontaje, en los sitios dictaminados por el comité organizador de COMUDE.</w:t>
            </w:r>
          </w:p>
          <w:p w14:paraId="14525A68" w14:textId="77777777" w:rsidR="0078115B" w:rsidRPr="0078115B" w:rsidRDefault="0078115B" w:rsidP="0078115B">
            <w:pPr>
              <w:numPr>
                <w:ilvl w:val="0"/>
                <w:numId w:val="1"/>
              </w:numPr>
              <w:jc w:val="both"/>
              <w:rPr>
                <w:rFonts w:ascii="Calibri Light" w:eastAsia="Calibri" w:hAnsi="Calibri Light" w:cs="Calibri Light"/>
                <w:color w:val="000000"/>
                <w:lang w:val="es-ES" w:eastAsia="es-ES"/>
              </w:rPr>
            </w:pPr>
            <w:r w:rsidRPr="0078115B">
              <w:rPr>
                <w:rFonts w:ascii="Calibri Light" w:eastAsia="Calibri" w:hAnsi="Calibri Light" w:cs="Calibri Light"/>
                <w:color w:val="000000"/>
                <w:lang w:val="es-ES" w:eastAsia="es-ES"/>
              </w:rPr>
              <w:t>3 horas de servicio privado de ambulancia, para ofrecer atención médica de emergencia con equipos especializados y personal capacitado. Incluye, en caso de ser necesario, el traslado seguro y rápido de pacientes a hospitales o centros médicos, brindando atención prehospitalaria durante el trayecto. Incluye un equipo médico, compuesto de por lo menos 2 paramédicos y técnicos capacitados.</w:t>
            </w:r>
          </w:p>
          <w:p w14:paraId="366312EF" w14:textId="77777777" w:rsidR="0078115B" w:rsidRPr="0078115B" w:rsidRDefault="0078115B" w:rsidP="0078115B">
            <w:pPr>
              <w:jc w:val="both"/>
              <w:rPr>
                <w:rFonts w:ascii="Arial" w:eastAsia="Calibri" w:hAnsi="Arial" w:cs="Arial"/>
                <w:b/>
                <w:bCs/>
                <w:sz w:val="20"/>
                <w:szCs w:val="20"/>
              </w:rPr>
            </w:pPr>
          </w:p>
        </w:tc>
        <w:tc>
          <w:tcPr>
            <w:tcW w:w="1261" w:type="dxa"/>
          </w:tcPr>
          <w:p w14:paraId="11DA3BC9" w14:textId="77777777" w:rsidR="0078115B" w:rsidRPr="0078115B" w:rsidRDefault="0078115B" w:rsidP="0078115B">
            <w:pPr>
              <w:spacing w:after="200" w:line="276" w:lineRule="auto"/>
              <w:jc w:val="center"/>
              <w:rPr>
                <w:rFonts w:ascii="Arial" w:eastAsia="Calibri" w:hAnsi="Arial" w:cs="Arial"/>
                <w:b/>
                <w:bCs/>
                <w:sz w:val="20"/>
                <w:szCs w:val="20"/>
              </w:rPr>
            </w:pPr>
            <w:r w:rsidRPr="0078115B">
              <w:rPr>
                <w:rFonts w:ascii="Arial" w:eastAsia="Calibri" w:hAnsi="Arial" w:cs="Arial"/>
                <w:b/>
                <w:bCs/>
                <w:sz w:val="20"/>
                <w:szCs w:val="20"/>
              </w:rPr>
              <w:lastRenderedPageBreak/>
              <w:t>1</w:t>
            </w:r>
          </w:p>
        </w:tc>
        <w:tc>
          <w:tcPr>
            <w:tcW w:w="1127" w:type="dxa"/>
          </w:tcPr>
          <w:p w14:paraId="7C344324" w14:textId="77777777" w:rsidR="0078115B" w:rsidRPr="0078115B" w:rsidRDefault="0078115B" w:rsidP="0078115B">
            <w:pPr>
              <w:spacing w:after="200" w:line="276" w:lineRule="auto"/>
              <w:jc w:val="center"/>
              <w:rPr>
                <w:rFonts w:ascii="Arial" w:eastAsia="Calibri" w:hAnsi="Arial" w:cs="Arial"/>
                <w:sz w:val="20"/>
                <w:szCs w:val="20"/>
              </w:rPr>
            </w:pPr>
            <w:r w:rsidRPr="0078115B">
              <w:rPr>
                <w:rFonts w:ascii="Arial" w:eastAsia="Calibri" w:hAnsi="Arial" w:cs="Arial"/>
                <w:sz w:val="20"/>
                <w:szCs w:val="20"/>
              </w:rPr>
              <w:t>servicio</w:t>
            </w:r>
          </w:p>
        </w:tc>
      </w:tr>
    </w:tbl>
    <w:p w14:paraId="4204D62F" w14:textId="77777777"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p>
    <w:p w14:paraId="4E999F9E" w14:textId="77777777" w:rsidR="0078115B" w:rsidRPr="0078115B" w:rsidRDefault="0078115B" w:rsidP="0078115B">
      <w:pPr>
        <w:spacing w:after="0" w:line="240" w:lineRule="auto"/>
        <w:jc w:val="both"/>
        <w:rPr>
          <w:rFonts w:ascii="Calibri" w:eastAsia="Times New Roman" w:hAnsi="Calibri" w:cs="Times New Roman"/>
          <w:b/>
          <w:kern w:val="0"/>
          <w:sz w:val="22"/>
          <w:szCs w:val="22"/>
          <w:lang w:eastAsia="es-MX"/>
          <w14:ligatures w14:val="none"/>
        </w:rPr>
      </w:pPr>
      <w:r w:rsidRPr="0078115B">
        <w:rPr>
          <w:rFonts w:ascii="Calibri" w:eastAsia="Times New Roman" w:hAnsi="Calibri" w:cs="Times New Roman"/>
          <w:b/>
          <w:kern w:val="0"/>
          <w:sz w:val="22"/>
          <w:szCs w:val="22"/>
          <w:lang w:eastAsia="es-MX"/>
          <w14:ligatures w14:val="none"/>
        </w:rPr>
        <w:t>Las adjudicadas deberán ser entregadas posteriores a la entrega de la orden de compra en un plazo no mayor a 05 días Después de la convocatoria concluida en el domicilio calle Constitución Oriente no. 157, Int. B, en el Municipio de Tlajomulco de Zúñiga, Jalisco, La compra de lo adjudicado no será mayor de acuerdo con el tope presupuestal del ejercicio en curso</w:t>
      </w:r>
    </w:p>
    <w:p w14:paraId="768D425E" w14:textId="77777777" w:rsidR="0078115B" w:rsidRP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2438056A"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14347154"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3AEC515F" w14:textId="77777777" w:rsid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32ACF6B4" w14:textId="77777777" w:rsid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65284EAD" w14:textId="77777777" w:rsid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1C26C33B" w14:textId="77777777" w:rsid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5A523467" w14:textId="77777777" w:rsid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0D9814DC" w14:textId="77777777" w:rsid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564EC799" w14:textId="77777777" w:rsidR="0078115B" w:rsidRPr="0078115B" w:rsidRDefault="0078115B" w:rsidP="0078115B">
      <w:pPr>
        <w:spacing w:after="0" w:line="240" w:lineRule="auto"/>
        <w:rPr>
          <w:rFonts w:ascii="Calibri" w:eastAsia="Times New Roman" w:hAnsi="Calibri" w:cs="Times New Roman"/>
          <w:b/>
          <w:kern w:val="0"/>
          <w:sz w:val="28"/>
          <w:szCs w:val="28"/>
          <w:lang w:eastAsia="es-MX"/>
          <w14:ligatures w14:val="none"/>
        </w:rPr>
      </w:pPr>
    </w:p>
    <w:p w14:paraId="16FA89A6"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r w:rsidRPr="0078115B">
        <w:rPr>
          <w:rFonts w:ascii="Calibri" w:eastAsia="Times New Roman" w:hAnsi="Calibri" w:cs="Times New Roman"/>
          <w:b/>
          <w:kern w:val="0"/>
          <w:sz w:val="28"/>
          <w:szCs w:val="28"/>
          <w:lang w:eastAsia="es-MX"/>
          <w14:ligatures w14:val="none"/>
        </w:rPr>
        <w:lastRenderedPageBreak/>
        <w:t>Bases</w:t>
      </w:r>
    </w:p>
    <w:p w14:paraId="247F5A81" w14:textId="77777777" w:rsidR="0078115B" w:rsidRPr="0078115B" w:rsidRDefault="0078115B" w:rsidP="0078115B">
      <w:pPr>
        <w:spacing w:after="0" w:line="240" w:lineRule="auto"/>
        <w:jc w:val="center"/>
        <w:rPr>
          <w:rFonts w:ascii="Calibri" w:eastAsia="Times New Roman" w:hAnsi="Calibri" w:cs="Times New Roman"/>
          <w:b/>
          <w:kern w:val="0"/>
          <w:sz w:val="28"/>
          <w:szCs w:val="28"/>
          <w:lang w:eastAsia="es-MX"/>
          <w14:ligatures w14:val="none"/>
        </w:rPr>
      </w:pPr>
    </w:p>
    <w:p w14:paraId="44BFDF5B" w14:textId="77777777" w:rsidR="0078115B" w:rsidRPr="0078115B" w:rsidRDefault="0078115B" w:rsidP="0078115B">
      <w:pPr>
        <w:spacing w:after="0" w:line="240" w:lineRule="auto"/>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FE86D65"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2B96C2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Vallarta poniente #59 en Tlajomulco de Zúñiga, Jalisco; previo registro del día y hora de entrega.</w:t>
      </w:r>
    </w:p>
    <w:p w14:paraId="7E779B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D94090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432A776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3396E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0931697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7A71D78"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5.- El precio del bien o servicio objeto de la presente licitación, deberá estar especificado en</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precio unitario, subtotal, moneda nacional, desglosando el </w:t>
      </w:r>
      <w:proofErr w:type="gramStart"/>
      <w:r w:rsidRPr="0078115B">
        <w:rPr>
          <w:rFonts w:ascii="Arial" w:eastAsia="Times New Roman" w:hAnsi="Arial" w:cs="Arial"/>
          <w:kern w:val="0"/>
          <w:sz w:val="21"/>
          <w:szCs w:val="21"/>
          <w:lang w:eastAsia="es-MX"/>
          <w14:ligatures w14:val="none"/>
        </w:rPr>
        <w:t>I.V.A</w:t>
      </w:r>
      <w:r w:rsidRPr="0078115B">
        <w:rPr>
          <w:rFonts w:ascii="Calibri" w:eastAsia="Times New Roman" w:hAnsi="Calibri" w:cs="Times New Roman"/>
          <w:kern w:val="0"/>
          <w:sz w:val="22"/>
          <w:szCs w:val="22"/>
          <w:lang w:eastAsia="es-MX"/>
          <w14:ligatures w14:val="none"/>
        </w:rPr>
        <w:t xml:space="preserve"> </w:t>
      </w:r>
      <w:r w:rsidRPr="0078115B">
        <w:rPr>
          <w:rFonts w:ascii="Arial" w:eastAsia="Times New Roman" w:hAnsi="Arial" w:cs="Arial"/>
          <w:kern w:val="0"/>
          <w:sz w:val="21"/>
          <w:szCs w:val="21"/>
          <w:lang w:eastAsia="es-MX"/>
          <w14:ligatures w14:val="none"/>
        </w:rPr>
        <w:t xml:space="preserve"> o</w:t>
      </w:r>
      <w:proofErr w:type="gramEnd"/>
      <w:r w:rsidRPr="0078115B">
        <w:rPr>
          <w:rFonts w:ascii="Arial" w:eastAsia="Times New Roman" w:hAnsi="Arial" w:cs="Arial"/>
          <w:kern w:val="0"/>
          <w:sz w:val="21"/>
          <w:szCs w:val="21"/>
          <w:lang w:eastAsia="es-MX"/>
          <w14:ligatures w14:val="none"/>
        </w:rPr>
        <w:t xml:space="preserve"> mencionar si el producto es exento de I.V.A. y el gran total.</w:t>
      </w:r>
    </w:p>
    <w:p w14:paraId="7122636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4B517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780F1D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8C9792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43996AB"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6056259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 xml:space="preserve">8.- En la descripción de los bienes deberán indicar marca y modelo, en caso de ser servicio agregar </w:t>
      </w:r>
      <w:proofErr w:type="spellStart"/>
      <w:r w:rsidRPr="0078115B">
        <w:rPr>
          <w:rFonts w:ascii="Arial" w:eastAsia="Times New Roman" w:hAnsi="Arial" w:cs="Arial"/>
          <w:kern w:val="0"/>
          <w:sz w:val="21"/>
          <w:szCs w:val="21"/>
          <w:lang w:eastAsia="es-MX"/>
          <w14:ligatures w14:val="none"/>
        </w:rPr>
        <w:t>curriculum</w:t>
      </w:r>
      <w:proofErr w:type="spellEnd"/>
      <w:r w:rsidRPr="0078115B">
        <w:rPr>
          <w:rFonts w:ascii="Arial" w:eastAsia="Times New Roman" w:hAnsi="Arial" w:cs="Arial"/>
          <w:kern w:val="0"/>
          <w:sz w:val="21"/>
          <w:szCs w:val="21"/>
          <w:lang w:eastAsia="es-MX"/>
          <w14:ligatures w14:val="none"/>
        </w:rPr>
        <w:t xml:space="preserve"> del participante.</w:t>
      </w:r>
    </w:p>
    <w:p w14:paraId="63ECFB4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570C27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21E00EE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A8104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698455C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4DB3D5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11.- Los licitantes deberán de adjuntar impresión legible y completa de identificación con foto vigente del participante y comprobante de domicilio a su nombre con una vigencia de emisión no mayor a 90 días naturales contados a partir de la entrega de las propuestas.</w:t>
      </w:r>
    </w:p>
    <w:p w14:paraId="39CCCCC2"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00D7F104"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7745E551"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4F7B3D7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lastRenderedPageBreak/>
        <w:t>13.- A manera de poder ser evaluada la propuesta, se DEBERÁ presentar ficha técnica, manuales, certificaciones y todos los documentos que comprueben la calidad ofertada.</w:t>
      </w:r>
    </w:p>
    <w:p w14:paraId="45F249A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B00B826"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5A58F4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1B75776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047336AA"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5304D5B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7B87FC5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a)</w:t>
      </w:r>
      <w:r w:rsidRPr="0078115B">
        <w:rPr>
          <w:rFonts w:ascii="Arial" w:eastAsia="Times New Roman" w:hAnsi="Arial" w:cs="Arial"/>
          <w:kern w:val="0"/>
          <w:sz w:val="21"/>
          <w:szCs w:val="21"/>
          <w:lang w:eastAsia="es-MX"/>
          <w14:ligatures w14:val="none"/>
        </w:rPr>
        <w:tab/>
        <w:t>Depósito en efectivo realizado a través de la Tesorería Municipal para tal efecto.</w:t>
      </w:r>
    </w:p>
    <w:p w14:paraId="2AE953AD"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b)</w:t>
      </w:r>
      <w:r w:rsidRPr="0078115B">
        <w:rPr>
          <w:rFonts w:ascii="Arial" w:eastAsia="Times New Roman" w:hAnsi="Arial" w:cs="Arial"/>
          <w:kern w:val="0"/>
          <w:sz w:val="21"/>
          <w:szCs w:val="21"/>
          <w:lang w:eastAsia="es-MX"/>
          <w14:ligatures w14:val="none"/>
        </w:rPr>
        <w:tab/>
        <w:t>Cheque certificado.</w:t>
      </w:r>
    </w:p>
    <w:p w14:paraId="543BF03C"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c)</w:t>
      </w:r>
      <w:r w:rsidRPr="0078115B">
        <w:rPr>
          <w:rFonts w:ascii="Arial" w:eastAsia="Times New Roman" w:hAnsi="Arial" w:cs="Arial"/>
          <w:kern w:val="0"/>
          <w:sz w:val="21"/>
          <w:szCs w:val="21"/>
          <w:lang w:eastAsia="es-MX"/>
          <w14:ligatures w14:val="none"/>
        </w:rPr>
        <w:tab/>
        <w:t>Una fianza expedida por una institución legalmente establecida.</w:t>
      </w:r>
    </w:p>
    <w:p w14:paraId="1A7C0637"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3072C59"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653D06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713FC5EE"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369923C3"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p>
    <w:p w14:paraId="2BFDC3B0" w14:textId="77777777" w:rsidR="0078115B" w:rsidRPr="0078115B" w:rsidRDefault="0078115B" w:rsidP="0078115B">
      <w:pPr>
        <w:spacing w:after="0" w:line="240" w:lineRule="auto"/>
        <w:jc w:val="both"/>
        <w:rPr>
          <w:rFonts w:ascii="Arial" w:eastAsia="Times New Roman" w:hAnsi="Arial" w:cs="Arial"/>
          <w:kern w:val="0"/>
          <w:sz w:val="21"/>
          <w:szCs w:val="21"/>
          <w:lang w:eastAsia="es-MX"/>
          <w14:ligatures w14:val="none"/>
        </w:rPr>
      </w:pPr>
      <w:r w:rsidRPr="0078115B">
        <w:rPr>
          <w:rFonts w:ascii="Arial" w:eastAsia="Times New Roman" w:hAnsi="Arial" w:cs="Arial"/>
          <w:kern w:val="0"/>
          <w:sz w:val="21"/>
          <w:szCs w:val="21"/>
          <w:lang w:eastAsia="es-MX"/>
          <w14:ligatures w14:val="none"/>
        </w:rPr>
        <w:t>18.- En caso de no presentar número de proveedor en la caratula del sobre, el participante DEBERÁ de presentar toda la documentación en impresión legible, que acredite su personalidad, así como las demás antes mencionadas y que estén vigentes.</w:t>
      </w:r>
    </w:p>
    <w:p w14:paraId="4148F4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6CE453D"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52430BC7"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7127AA3B"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19BA8A94" w14:textId="77777777" w:rsidR="0078115B" w:rsidRPr="0078115B" w:rsidRDefault="0078115B" w:rsidP="0078115B">
      <w:pPr>
        <w:spacing w:after="0" w:line="240" w:lineRule="auto"/>
        <w:rPr>
          <w:rFonts w:ascii="Arial" w:eastAsia="Times New Roman" w:hAnsi="Arial" w:cs="Arial"/>
          <w:kern w:val="0"/>
          <w:sz w:val="20"/>
          <w:szCs w:val="20"/>
          <w:lang w:eastAsia="es-MX"/>
          <w14:ligatures w14:val="none"/>
        </w:rPr>
      </w:pPr>
    </w:p>
    <w:p w14:paraId="24630E08" w14:textId="77777777" w:rsidR="0078115B" w:rsidRPr="0078115B" w:rsidRDefault="0078115B" w:rsidP="0078115B">
      <w:pPr>
        <w:spacing w:after="0" w:line="240" w:lineRule="auto"/>
        <w:rPr>
          <w:rFonts w:ascii="Arial" w:eastAsia="Times New Roman" w:hAnsi="Arial" w:cs="Arial"/>
          <w:kern w:val="0"/>
          <w:sz w:val="20"/>
          <w:szCs w:val="20"/>
          <w:vertAlign w:val="subscript"/>
          <w:lang w:eastAsia="es-MX"/>
          <w14:ligatures w14:val="none"/>
        </w:rPr>
      </w:pPr>
    </w:p>
    <w:p w14:paraId="071E2093" w14:textId="77777777" w:rsidR="0078115B" w:rsidRPr="0078115B" w:rsidRDefault="0078115B" w:rsidP="0078115B">
      <w:pPr>
        <w:spacing w:after="0" w:line="240" w:lineRule="auto"/>
        <w:jc w:val="center"/>
        <w:rPr>
          <w:rFonts w:ascii="Arial" w:eastAsia="Times New Roman" w:hAnsi="Arial" w:cs="Arial"/>
          <w:kern w:val="0"/>
          <w:sz w:val="20"/>
          <w:szCs w:val="20"/>
          <w:lang w:eastAsia="es-MX"/>
          <w14:ligatures w14:val="none"/>
        </w:rPr>
      </w:pPr>
      <w:r w:rsidRPr="0078115B">
        <w:rPr>
          <w:rFonts w:ascii="Arial" w:eastAsia="Times New Roman" w:hAnsi="Arial" w:cs="Arial"/>
          <w:kern w:val="0"/>
          <w:sz w:val="20"/>
          <w:szCs w:val="20"/>
          <w:lang w:eastAsia="es-MX"/>
          <w14:ligatures w14:val="none"/>
        </w:rPr>
        <w:t xml:space="preserve">SALVADOR DE JESUS ALEJANDRE MENDOZA </w:t>
      </w:r>
    </w:p>
    <w:p w14:paraId="29D46ED0" w14:textId="77777777" w:rsidR="0078115B" w:rsidRPr="0078115B" w:rsidRDefault="0078115B" w:rsidP="0078115B">
      <w:pPr>
        <w:spacing w:after="0" w:line="240" w:lineRule="auto"/>
        <w:jc w:val="center"/>
        <w:rPr>
          <w:rFonts w:ascii="Arial" w:eastAsia="Times New Roman" w:hAnsi="Arial" w:cs="Arial"/>
          <w:b/>
          <w:bCs/>
          <w:kern w:val="0"/>
          <w:sz w:val="20"/>
          <w:szCs w:val="20"/>
          <w:lang w:eastAsia="es-MX"/>
          <w14:ligatures w14:val="none"/>
        </w:rPr>
      </w:pPr>
      <w:r w:rsidRPr="0078115B">
        <w:rPr>
          <w:rFonts w:ascii="Arial" w:eastAsia="Times New Roman" w:hAnsi="Arial" w:cs="Arial"/>
          <w:b/>
          <w:bCs/>
          <w:kern w:val="0"/>
          <w:sz w:val="20"/>
          <w:szCs w:val="20"/>
          <w:lang w:eastAsia="es-MX"/>
          <w14:ligatures w14:val="none"/>
        </w:rPr>
        <w:t xml:space="preserve">DIRECTOR GENERAL DEL COMUDE TLAJOMULCO </w:t>
      </w:r>
    </w:p>
    <w:p w14:paraId="796BBAB1" w14:textId="77777777" w:rsidR="00807FC4" w:rsidRDefault="00807FC4"/>
    <w:sectPr w:rsidR="00807FC4" w:rsidSect="0078115B">
      <w:headerReference w:type="default" r:id="rId7"/>
      <w:footerReference w:type="default" r:id="rId8"/>
      <w:pgSz w:w="12240" w:h="15840" w:code="1"/>
      <w:pgMar w:top="958" w:right="1701" w:bottom="141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C2277" w14:textId="77777777" w:rsidR="00B53C8C" w:rsidRDefault="00B53C8C" w:rsidP="0078115B">
      <w:pPr>
        <w:spacing w:after="0" w:line="240" w:lineRule="auto"/>
      </w:pPr>
      <w:r>
        <w:separator/>
      </w:r>
    </w:p>
  </w:endnote>
  <w:endnote w:type="continuationSeparator" w:id="0">
    <w:p w14:paraId="6086DEE1" w14:textId="77777777" w:rsidR="00B53C8C" w:rsidRDefault="00B53C8C" w:rsidP="0078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e Rhino 65 Bold">
    <w:altName w:val="Calibri"/>
    <w:panose1 w:val="00000000000000000000"/>
    <w:charset w:val="00"/>
    <w:family w:val="modern"/>
    <w:notTrueType/>
    <w:pitch w:val="variable"/>
    <w:sig w:usb0="A000026F" w:usb1="500078FB" w:usb2="00000000" w:usb3="00000000" w:csb0="00000097"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BA08" w14:textId="77777777" w:rsidR="0078115B" w:rsidRPr="00E22090" w:rsidRDefault="0078115B">
    <w:pPr>
      <w:pStyle w:val="Piedepgina"/>
    </w:pPr>
    <w:r w:rsidRPr="00E22090">
      <w:rPr>
        <w:noProof/>
      </w:rPr>
      <w:drawing>
        <wp:anchor distT="0" distB="0" distL="114300" distR="114300" simplePos="0" relativeHeight="251657728" behindDoc="1" locked="0" layoutInCell="1" allowOverlap="1" wp14:anchorId="0539B711" wp14:editId="1230A899">
          <wp:simplePos x="0" y="0"/>
          <wp:positionH relativeFrom="page">
            <wp:posOffset>39139</wp:posOffset>
          </wp:positionH>
          <wp:positionV relativeFrom="paragraph">
            <wp:posOffset>-189173</wp:posOffset>
          </wp:positionV>
          <wp:extent cx="8065770" cy="707390"/>
          <wp:effectExtent l="0" t="0" r="0" b="0"/>
          <wp:wrapNone/>
          <wp:docPr id="7631026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5770"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E1E1B" w14:textId="77777777" w:rsidR="00B53C8C" w:rsidRDefault="00B53C8C" w:rsidP="0078115B">
      <w:pPr>
        <w:spacing w:after="0" w:line="240" w:lineRule="auto"/>
      </w:pPr>
      <w:r>
        <w:separator/>
      </w:r>
    </w:p>
  </w:footnote>
  <w:footnote w:type="continuationSeparator" w:id="0">
    <w:p w14:paraId="66C73C49" w14:textId="77777777" w:rsidR="00B53C8C" w:rsidRDefault="00B53C8C" w:rsidP="00781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D902" w14:textId="77777777" w:rsidR="0078115B" w:rsidRPr="00006514" w:rsidRDefault="0078115B" w:rsidP="00AC4EB4">
    <w:pPr>
      <w:spacing w:after="0"/>
      <w:rPr>
        <w:rFonts w:ascii="Core Rhino 65 Bold" w:hAnsi="Core Rhino 65 Bold" w:cs="Arial"/>
        <w:color w:val="808080"/>
      </w:rPr>
    </w:pPr>
    <w:r>
      <w:rPr>
        <w:rFonts w:ascii="Core Rhino 65 Bold" w:hAnsi="Core Rhino 65 Bold" w:cs="Arial"/>
        <w:noProof/>
        <w:color w:val="808080"/>
      </w:rPr>
      <w:drawing>
        <wp:anchor distT="0" distB="0" distL="114300" distR="114300" simplePos="0" relativeHeight="251656704" behindDoc="1" locked="0" layoutInCell="1" allowOverlap="1" wp14:anchorId="31DE4140" wp14:editId="367A082C">
          <wp:simplePos x="0" y="0"/>
          <wp:positionH relativeFrom="column">
            <wp:posOffset>-824865</wp:posOffset>
          </wp:positionH>
          <wp:positionV relativeFrom="paragraph">
            <wp:posOffset>-321310</wp:posOffset>
          </wp:positionV>
          <wp:extent cx="1621790" cy="670560"/>
          <wp:effectExtent l="0" t="0" r="0" b="0"/>
          <wp:wrapNone/>
          <wp:docPr id="135379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r>
      <w:rPr>
        <w:rFonts w:ascii="Core Rhino 65 Bold" w:hAnsi="Core Rhino 65 Bold" w:cs="Arial"/>
        <w:noProof/>
        <w:color w:val="808080"/>
      </w:rPr>
      <w:drawing>
        <wp:anchor distT="0" distB="0" distL="114300" distR="114300" simplePos="0" relativeHeight="251658752" behindDoc="1" locked="0" layoutInCell="1" allowOverlap="1" wp14:anchorId="02984440" wp14:editId="267EEA92">
          <wp:simplePos x="0" y="0"/>
          <wp:positionH relativeFrom="page">
            <wp:posOffset>6462646</wp:posOffset>
          </wp:positionH>
          <wp:positionV relativeFrom="paragraph">
            <wp:posOffset>-383540</wp:posOffset>
          </wp:positionV>
          <wp:extent cx="1264034" cy="828675"/>
          <wp:effectExtent l="0" t="0" r="0" b="0"/>
          <wp:wrapNone/>
          <wp:docPr id="113233716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78" cy="837620"/>
                  </a:xfrm>
                  <a:prstGeom prst="rect">
                    <a:avLst/>
                  </a:prstGeom>
                  <a:noFill/>
                </pic:spPr>
              </pic:pic>
            </a:graphicData>
          </a:graphic>
          <wp14:sizeRelH relativeFrom="page">
            <wp14:pctWidth>0</wp14:pctWidth>
          </wp14:sizeRelH>
          <wp14:sizeRelV relativeFrom="page">
            <wp14:pctHeight>0</wp14:pctHeight>
          </wp14:sizeRelV>
        </wp:anchor>
      </w:drawing>
    </w:r>
  </w:p>
  <w:p w14:paraId="3CB10B73" w14:textId="77777777" w:rsidR="0078115B" w:rsidRPr="00006514" w:rsidRDefault="0078115B" w:rsidP="002910B3">
    <w:pPr>
      <w:spacing w:after="0"/>
      <w:jc w:val="center"/>
      <w:rPr>
        <w:rFonts w:ascii="Core Rhino 65 Bold" w:hAnsi="Core Rhino 65 Bold" w:cs="Arial"/>
        <w:color w:val="808080"/>
        <w:sz w:val="2"/>
      </w:rPr>
    </w:pPr>
    <w:r w:rsidRPr="00006514">
      <w:rPr>
        <w:rFonts w:ascii="Core Rhino 65 Bold" w:hAnsi="Core Rhino 65 Bold" w:cs="Arial"/>
        <w:color w:val="808080"/>
      </w:rPr>
      <w:t>Consejo Municipal del Deporte de Tlajomulco</w:t>
    </w:r>
  </w:p>
  <w:p w14:paraId="6F111FEE" w14:textId="77777777" w:rsidR="0078115B" w:rsidRPr="00006514" w:rsidRDefault="0078115B" w:rsidP="002910B3">
    <w:pPr>
      <w:spacing w:after="0"/>
      <w:jc w:val="center"/>
      <w:rPr>
        <w:rFonts w:ascii="Core Rhino 45 Regular" w:hAnsi="Core Rhino 45 Regular" w:cs="Arial"/>
        <w:color w:val="808080"/>
        <w:sz w:val="20"/>
        <w:szCs w:val="20"/>
      </w:rPr>
    </w:pPr>
    <w:r w:rsidRPr="00006514">
      <w:rPr>
        <w:rFonts w:ascii="Core Rhino 45 Regular" w:hAnsi="Core Rhino 45 Regular" w:cs="Arial"/>
        <w:color w:val="808080"/>
        <w:sz w:val="20"/>
        <w:szCs w:val="20"/>
      </w:rPr>
      <w:t>Gobierno Municipal de Tlajomulco de Zúñiga 2024-2027</w:t>
    </w:r>
  </w:p>
  <w:p w14:paraId="7F02CF8A" w14:textId="77777777" w:rsidR="0078115B" w:rsidRPr="00006514" w:rsidRDefault="0078115B" w:rsidP="002910B3">
    <w:pPr>
      <w:spacing w:after="0"/>
      <w:jc w:val="center"/>
      <w:rPr>
        <w:rFonts w:ascii="Foco Black" w:eastAsia="Times New Roman" w:hAnsi="Foco Black"/>
        <w:b/>
        <w:color w:val="808080"/>
        <w:shd w:val="clear" w:color="auto" w:fill="FFFFFF"/>
      </w:rPr>
    </w:pPr>
    <w:r w:rsidRPr="00006514">
      <w:rPr>
        <w:rFonts w:ascii="Foco Black" w:hAnsi="Foco Black" w:cs="Arial"/>
        <w:b/>
        <w:color w:val="F79646"/>
      </w:rPr>
      <w:t xml:space="preserve">LICITACIÓN SIN CONCURRENCIA DEL COMITÉ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71633"/>
    <w:multiLevelType w:val="hybridMultilevel"/>
    <w:tmpl w:val="13DC1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8898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5B"/>
    <w:rsid w:val="000B3586"/>
    <w:rsid w:val="00240108"/>
    <w:rsid w:val="005749B4"/>
    <w:rsid w:val="0078115B"/>
    <w:rsid w:val="00807FC4"/>
    <w:rsid w:val="00880154"/>
    <w:rsid w:val="008C51AA"/>
    <w:rsid w:val="00A6113C"/>
    <w:rsid w:val="00AE2814"/>
    <w:rsid w:val="00B53C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96DC"/>
  <w15:chartTrackingRefBased/>
  <w15:docId w15:val="{22473E3B-3290-44C8-A3EC-1F6F13E46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81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8115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8115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8115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81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15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8115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8115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8115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8115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81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15B"/>
    <w:rPr>
      <w:rFonts w:eastAsiaTheme="majorEastAsia" w:cstheme="majorBidi"/>
      <w:color w:val="272727" w:themeColor="text1" w:themeTint="D8"/>
    </w:rPr>
  </w:style>
  <w:style w:type="paragraph" w:styleId="Ttulo">
    <w:name w:val="Title"/>
    <w:basedOn w:val="Normal"/>
    <w:next w:val="Normal"/>
    <w:link w:val="TtuloCar"/>
    <w:uiPriority w:val="10"/>
    <w:qFormat/>
    <w:rsid w:val="00781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15B"/>
    <w:pPr>
      <w:spacing w:before="160"/>
      <w:jc w:val="center"/>
    </w:pPr>
    <w:rPr>
      <w:i/>
      <w:iCs/>
      <w:color w:val="404040" w:themeColor="text1" w:themeTint="BF"/>
    </w:rPr>
  </w:style>
  <w:style w:type="character" w:customStyle="1" w:styleId="CitaCar">
    <w:name w:val="Cita Car"/>
    <w:basedOn w:val="Fuentedeprrafopredeter"/>
    <w:link w:val="Cita"/>
    <w:uiPriority w:val="29"/>
    <w:rsid w:val="0078115B"/>
    <w:rPr>
      <w:i/>
      <w:iCs/>
      <w:color w:val="404040" w:themeColor="text1" w:themeTint="BF"/>
    </w:rPr>
  </w:style>
  <w:style w:type="paragraph" w:styleId="Prrafodelista">
    <w:name w:val="List Paragraph"/>
    <w:basedOn w:val="Normal"/>
    <w:uiPriority w:val="34"/>
    <w:qFormat/>
    <w:rsid w:val="0078115B"/>
    <w:pPr>
      <w:ind w:left="720"/>
      <w:contextualSpacing/>
    </w:pPr>
  </w:style>
  <w:style w:type="character" w:styleId="nfasisintenso">
    <w:name w:val="Intense Emphasis"/>
    <w:basedOn w:val="Fuentedeprrafopredeter"/>
    <w:uiPriority w:val="21"/>
    <w:qFormat/>
    <w:rsid w:val="0078115B"/>
    <w:rPr>
      <w:i/>
      <w:iCs/>
      <w:color w:val="2F5496" w:themeColor="accent1" w:themeShade="BF"/>
    </w:rPr>
  </w:style>
  <w:style w:type="paragraph" w:styleId="Citadestacada">
    <w:name w:val="Intense Quote"/>
    <w:basedOn w:val="Normal"/>
    <w:next w:val="Normal"/>
    <w:link w:val="CitadestacadaCar"/>
    <w:uiPriority w:val="30"/>
    <w:qFormat/>
    <w:rsid w:val="00781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8115B"/>
    <w:rPr>
      <w:i/>
      <w:iCs/>
      <w:color w:val="2F5496" w:themeColor="accent1" w:themeShade="BF"/>
    </w:rPr>
  </w:style>
  <w:style w:type="character" w:styleId="Referenciaintensa">
    <w:name w:val="Intense Reference"/>
    <w:basedOn w:val="Fuentedeprrafopredeter"/>
    <w:uiPriority w:val="32"/>
    <w:qFormat/>
    <w:rsid w:val="0078115B"/>
    <w:rPr>
      <w:b/>
      <w:bCs/>
      <w:smallCaps/>
      <w:color w:val="2F5496" w:themeColor="accent1" w:themeShade="BF"/>
      <w:spacing w:val="5"/>
    </w:rPr>
  </w:style>
  <w:style w:type="paragraph" w:styleId="Piedepgina">
    <w:name w:val="footer"/>
    <w:basedOn w:val="Normal"/>
    <w:link w:val="PiedepginaCar"/>
    <w:uiPriority w:val="99"/>
    <w:unhideWhenUsed/>
    <w:rsid w:val="0078115B"/>
    <w:pPr>
      <w:tabs>
        <w:tab w:val="center" w:pos="4419"/>
        <w:tab w:val="right" w:pos="8838"/>
      </w:tabs>
      <w:spacing w:after="0" w:line="240" w:lineRule="auto"/>
    </w:pPr>
    <w:rPr>
      <w:rFonts w:eastAsia="Times New Roman"/>
      <w:kern w:val="0"/>
      <w:sz w:val="22"/>
      <w:szCs w:val="22"/>
      <w:lang w:eastAsia="es-MX"/>
      <w14:ligatures w14:val="none"/>
    </w:rPr>
  </w:style>
  <w:style w:type="character" w:customStyle="1" w:styleId="PiedepginaCar">
    <w:name w:val="Pie de página Car"/>
    <w:basedOn w:val="Fuentedeprrafopredeter"/>
    <w:link w:val="Piedepgina"/>
    <w:uiPriority w:val="99"/>
    <w:rsid w:val="0078115B"/>
    <w:rPr>
      <w:rFonts w:eastAsia="Times New Roman"/>
      <w:kern w:val="0"/>
      <w:sz w:val="22"/>
      <w:szCs w:val="22"/>
      <w:lang w:eastAsia="es-MX"/>
      <w14:ligatures w14:val="none"/>
    </w:rPr>
  </w:style>
  <w:style w:type="table" w:customStyle="1" w:styleId="Tablaconcuadrcula1">
    <w:name w:val="Tabla con cuadrícula1"/>
    <w:basedOn w:val="Tablanormal"/>
    <w:next w:val="Tablaconcuadrcula"/>
    <w:uiPriority w:val="59"/>
    <w:rsid w:val="007811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81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81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1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1858</Words>
  <Characters>10219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Comude Tlajomulco</dc:creator>
  <cp:keywords/>
  <dc:description/>
  <cp:lastModifiedBy>Comude Tlajomulco</cp:lastModifiedBy>
  <cp:revision>2</cp:revision>
  <cp:lastPrinted>2026-04-16T21:09:00Z</cp:lastPrinted>
  <dcterms:created xsi:type="dcterms:W3CDTF">2026-04-15T16:09:00Z</dcterms:created>
  <dcterms:modified xsi:type="dcterms:W3CDTF">2026-04-16T21:45:00Z</dcterms:modified>
</cp:coreProperties>
</file>